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entury Gothic" w:hAnsi="Century Gothic" w:eastAsia="Century Gothic" w:cs="Century Gothic"/>
          <w:b/>
          <w:b/>
          <w:sz w:val="22"/>
          <w:szCs w:val="22"/>
        </w:rPr>
      </w:pPr>
      <w:r>
        <w:rPr/>
        <w:drawing>
          <wp:inline distT="0" distB="0" distL="0" distR="0">
            <wp:extent cx="1409700" cy="149161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entury Gothic" w:hAnsi="Century Gothic" w:eastAsia="Century Gothic" w:cs="Century Gothic"/>
          <w:b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entury Gothic" w:hAnsi="Century Gothic" w:eastAsia="Century Gothic" w:cs="Century Gothic"/>
          <w:b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entury Gothic" w:hAnsi="Century Gothic" w:eastAsia="Century Gothic" w:cs="Century Gothic"/>
          <w:b/>
          <w:b/>
          <w:sz w:val="22"/>
          <w:szCs w:val="22"/>
        </w:rPr>
      </w:pPr>
      <w:r>
        <w:rPr>
          <w:rFonts w:eastAsia="Century Gothic" w:cs="Century Gothic" w:ascii="Century Gothic" w:hAnsi="Century Gothic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ORDINANZA SINDACALE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OGGETTO: Ordinanza contingibile ed urgente – Chiusura dei Parchi, Giardini pubblici</w:t>
      </w:r>
      <w:r>
        <w:rPr>
          <w:rFonts w:eastAsia="Arial" w:cs="Arial" w:ascii="Arial" w:hAnsi="Arial"/>
          <w:b/>
          <w:sz w:val="22"/>
          <w:szCs w:val="22"/>
        </w:rPr>
        <w:t xml:space="preserve">,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delle are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e Cimiteriali</w:t>
      </w:r>
      <w:r>
        <w:rPr>
          <w:rFonts w:eastAsia="Arial" w:cs="Arial" w:ascii="Arial" w:hAnsi="Arial"/>
          <w:b/>
          <w:sz w:val="22"/>
          <w:szCs w:val="22"/>
        </w:rPr>
        <w:t>, degli impianti sportivi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e </w:t>
      </w:r>
      <w:r>
        <w:rPr>
          <w:rFonts w:eastAsia="Arial" w:cs="Arial" w:ascii="Arial" w:hAnsi="Arial"/>
          <w:b/>
          <w:sz w:val="22"/>
          <w:szCs w:val="22"/>
        </w:rPr>
        <w:t>dei principali sottopassi viari cittadini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r i giorn</w:t>
      </w:r>
      <w:r>
        <w:rPr>
          <w:rFonts w:eastAsia="Arial" w:cs="Arial" w:ascii="Arial" w:hAnsi="Arial"/>
          <w:b/>
          <w:sz w:val="22"/>
          <w:szCs w:val="22"/>
        </w:rPr>
        <w:t>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 xml:space="preserve">15 e 16 maggio 2023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causa previste avverse condizioni meteo.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IL SINDACO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Premesso che: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data</w:t>
      </w:r>
      <w:r>
        <w:rPr>
          <w:rFonts w:eastAsia="Arial" w:cs="Arial" w:ascii="Arial" w:hAnsi="Arial"/>
          <w:sz w:val="22"/>
          <w:szCs w:val="22"/>
        </w:rPr>
        <w:t xml:space="preserve"> 15 maggio 2023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la Sala Operativa Regionale Unificata (S.O.R.U.) di Protezione Civile della Regione Campania ha diramato l’avviso di allerta arancione n. </w:t>
      </w:r>
      <w:r>
        <w:rPr>
          <w:rFonts w:eastAsia="Arial" w:cs="Arial" w:ascii="Arial" w:hAnsi="Arial"/>
          <w:sz w:val="22"/>
          <w:szCs w:val="22"/>
        </w:rPr>
        <w:t>35/23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per previste condizioni meteorologiche avverse;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 xml:space="preserve">in particolare, nella zona 3 (Penisola sorrentino-amalfinata, Monti di Sarno e Monti Picentini) della Regione Campania, ove ricade il territorio del Comune di Salerno, </w:t>
      </w:r>
      <w:r>
        <w:rPr>
          <w:rFonts w:eastAsia="Arial" w:cs="Arial" w:ascii="Arial" w:hAnsi="Arial"/>
          <w:b/>
          <w:sz w:val="22"/>
          <w:szCs w:val="22"/>
        </w:rPr>
        <w:t>tra le ore 21:00 di lunedì 15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maggio 2023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fino alle ore </w:t>
      </w:r>
      <w:r>
        <w:rPr>
          <w:rFonts w:eastAsia="Arial" w:cs="Arial" w:ascii="Arial" w:hAnsi="Arial"/>
          <w:b/>
          <w:sz w:val="22"/>
          <w:szCs w:val="22"/>
        </w:rPr>
        <w:t>21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:00 di </w:t>
      </w:r>
      <w:r>
        <w:rPr>
          <w:rFonts w:eastAsia="Arial" w:cs="Arial" w:ascii="Arial" w:hAnsi="Arial"/>
          <w:b/>
          <w:sz w:val="22"/>
          <w:szCs w:val="22"/>
        </w:rPr>
        <w:t>martedì 16 maggio 2023</w:t>
      </w:r>
      <w:r>
        <w:rPr>
          <w:rFonts w:eastAsia="Arial" w:cs="Arial" w:ascii="Arial" w:hAnsi="Arial"/>
          <w:sz w:val="22"/>
          <w:szCs w:val="22"/>
        </w:rPr>
        <w:t xml:space="preserve"> - sono previste - “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Precipitazioni </w:t>
      </w:r>
      <w:r>
        <w:rPr>
          <w:rFonts w:eastAsia="Arial" w:cs="Arial" w:ascii="Arial" w:hAnsi="Arial"/>
          <w:b/>
          <w:i/>
          <w:sz w:val="22"/>
          <w:szCs w:val="22"/>
        </w:rPr>
        <w:t>sparse anche a carattere di rovescio o temporale, puntualmente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 moderata o forte intensità</w:t>
      </w:r>
      <w:r>
        <w:rPr>
          <w:rFonts w:eastAsia="Arial" w:cs="Arial" w:ascii="Arial" w:hAnsi="Arial"/>
          <w:i/>
          <w:sz w:val="22"/>
          <w:szCs w:val="22"/>
        </w:rPr>
        <w:t xml:space="preserve">. </w:t>
      </w:r>
      <w:r>
        <w:rPr>
          <w:rFonts w:eastAsia="Arial" w:cs="Arial" w:ascii="Arial" w:hAnsi="Arial"/>
          <w:b/>
          <w:i/>
          <w:sz w:val="22"/>
          <w:szCs w:val="22"/>
        </w:rPr>
        <w:t>Venti localmente prevalentemente meridionali con raffiche. Mare agitato o molto agitato con mareggiate lungo le coste esposte</w:t>
      </w:r>
      <w:r>
        <w:rPr>
          <w:rFonts w:eastAsia="Arial" w:cs="Arial" w:ascii="Arial" w:hAnsi="Arial"/>
          <w:i/>
          <w:sz w:val="22"/>
          <w:szCs w:val="22"/>
        </w:rPr>
        <w:t>”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Considerato che: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il livello di allerta diramata, ossia di criticità, è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“arancione”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la tipologia di rischio è “idrogeologico diffuso e idraulico </w:t>
      </w:r>
      <w:r>
        <w:rPr>
          <w:rFonts w:eastAsia="Arial" w:cs="Arial" w:ascii="Arial" w:hAnsi="Arial"/>
          <w:sz w:val="22"/>
          <w:szCs w:val="22"/>
        </w:rPr>
        <w:t>localizzato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”;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>nel medesimo avviso i Comuni, per quanto di competenza, sono invitati a provvedere agli adempimenti di legge e del T.U.E.L., posti a loro carico, attraverso l’attuazione delle misure previste nei rispettivi piani d’emergenza per la salvaguardia della popolazione e dei beni esposti, per il contrasto e la mitigazione degli effetti al suolo dei fenomeni annunciati;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>la prevista criticità metereologica può determinare una situazione di potenziale pericolo per l’incolumità di persone e cose e che, pertanto, è necessario ridurre per quanto possibile ogni rischio per la popolazione attraverso la chiusura, ove non già prevista in via ordinaria, di tutte le ville e parchi comunali, del civico cimitero e degli impianti sportivi comunali e dei principali sottopassi viari cittadini, tra le ore 21:00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di lunedì 15 maggio 2023 e fino alle ore 21:00 di martedì 16 maggio 2023.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Tenuto conto che: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 xml:space="preserve">Il Dirigente del Settore Ambiente, sentito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 Responsabile dell’U.O.C. Verde Pubblico, ha valutato, pur in assenza di evidenziate criticità, riguardo le aree a verde dei Parchi e Giardini attual</w:t>
      </w:r>
      <w:r>
        <w:rPr>
          <w:rFonts w:eastAsia="Arial" w:cs="Arial" w:ascii="Arial" w:hAnsi="Arial"/>
          <w:sz w:val="22"/>
          <w:szCs w:val="22"/>
        </w:rPr>
        <w:t xml:space="preserve">mente fruibili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sul territorio comunale, di rappresentare la necessità di chiudere gli stessi in via prudenziale a tutela della cittadinanza;</w:t>
      </w:r>
      <w:r>
        <w:rPr>
          <w:rFonts w:eastAsia="Arial" w:cs="Arial" w:ascii="Arial" w:hAnsi="Arial"/>
          <w:sz w:val="22"/>
          <w:szCs w:val="22"/>
        </w:rPr>
        <w:t xml:space="preserve">  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 Dirigente del Settore Strutture Comunali</w:t>
      </w:r>
      <w:r>
        <w:rPr>
          <w:rFonts w:eastAsia="Arial" w:cs="Arial" w:ascii="Arial" w:hAnsi="Arial"/>
          <w:sz w:val="22"/>
          <w:szCs w:val="22"/>
        </w:rPr>
        <w:t xml:space="preserve">,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analogamente, ha valutato di rappresentare la necessità di chiudere ai visitatori le aree cimiteriali </w:t>
      </w:r>
      <w:r>
        <w:rPr>
          <w:rFonts w:eastAsia="Arial" w:cs="Arial" w:ascii="Arial" w:hAnsi="Arial"/>
          <w:sz w:val="22"/>
          <w:szCs w:val="22"/>
        </w:rPr>
        <w:t>nonché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gli impianti sportivi comunali</w:t>
      </w:r>
      <w:r>
        <w:rPr>
          <w:rFonts w:eastAsia="Arial" w:cs="Arial" w:ascii="Arial" w:hAnsi="Arial"/>
          <w:sz w:val="22"/>
          <w:szCs w:val="22"/>
        </w:rPr>
        <w:t>;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Il Dirigente Settore Mobilità Urbana, Trasporti e Manutenzioni ha valutato la necessità di chiudere i principali sottopassi viari cittadini;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Ritenuto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pertanto, in via prudenziale, dover adottare, per</w:t>
      </w:r>
      <w:r>
        <w:rPr>
          <w:rFonts w:eastAsia="Arial" w:cs="Arial" w:ascii="Arial" w:hAnsi="Arial"/>
          <w:sz w:val="22"/>
          <w:szCs w:val="22"/>
        </w:rPr>
        <w:t xml:space="preserve"> i giorni lunedì 15 e martedì 16 maggio 2023,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provvedimenti contingibili ed urgenti a tutela dell’integrità fisica della popolazione cittadina;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Visto: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firstLine="72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l’art. 54, comma 4, del D.Lgs. 267/2000 e ss.mm.ii.;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firstLine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l’art. 15 della L. 225/92;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firstLine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l’art. 12, comma 5, del D.Lgs. n. 1 del 2/01/2018 “Codice della Protezione Civile”,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R D I N A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 tutela della cittadinanza,</w:t>
      </w:r>
      <w:r>
        <w:rPr>
          <w:rFonts w:eastAsia="Arial" w:cs="Arial" w:ascii="Arial" w:hAnsi="Arial"/>
          <w:b/>
          <w:sz w:val="22"/>
          <w:szCs w:val="22"/>
        </w:rPr>
        <w:t xml:space="preserve"> tra le ore 21:00 di lunedì 15 maggio 2023 e fino alle ore 21:00 di martedì 16 maggio 2023</w:t>
      </w:r>
      <w:r>
        <w:rPr>
          <w:rFonts w:eastAsia="Arial" w:cs="Arial" w:ascii="Arial" w:hAnsi="Arial"/>
          <w:sz w:val="22"/>
          <w:szCs w:val="22"/>
        </w:rPr>
        <w:t>,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salvo ulteriori valutazioni,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la chiusura dei Parchi e Giardini pubblici </w:t>
      </w:r>
      <w:r>
        <w:rPr>
          <w:rFonts w:eastAsia="Arial" w:cs="Arial" w:ascii="Arial" w:hAnsi="Arial"/>
          <w:sz w:val="22"/>
          <w:szCs w:val="22"/>
        </w:rPr>
        <w:t>su tutto il territorio cittadino, delle aree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cimiteriali</w:t>
      </w:r>
      <w:r>
        <w:rPr>
          <w:rFonts w:eastAsia="Arial" w:cs="Arial" w:ascii="Arial" w:hAnsi="Arial"/>
          <w:sz w:val="22"/>
          <w:szCs w:val="22"/>
        </w:rPr>
        <w:t>, degli impianti sportivi comunali e dei principali sottopassi viari cittadini;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 I S P O N E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consentire, per i periodi durante i quali non sono in corso eventi avversi, l’accesso nei Parchi e Giardini pubblici al solo personale tecnico, per assicurare le verifiche sulle alberature ivi presenti ed inoltre, per le aree cimiteriali e gli impianti sportivi, anche al personale addetto ai relativi servizi non differibili</w:t>
      </w:r>
      <w:r>
        <w:rPr>
          <w:rFonts w:eastAsia="Arial" w:cs="Arial" w:ascii="Arial" w:hAnsi="Arial"/>
          <w:sz w:val="22"/>
          <w:szCs w:val="22"/>
        </w:rPr>
        <w:t>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 N V I T A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la popolazione tutta ad attenersi alle norme comportamentali di prudenza e cautela previste in caso di avviso di allerta meteo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per rischio idraulico e idrogeologico e forti raffiche di vento.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 presente provvedimento sarà pubblicato all’Albo Pretorio del Comune di Salerno e trasmesso alla Prefettura - Ufficio Territoriale del Governo di Salerno, nonché ai Servizi comunali competenti.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M A N D A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all’ufficio protocollo per l’invio a mezzo SIMEL a: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-Ufficio di Gabinetto del Sindaco;</w:t>
      </w:r>
    </w:p>
    <w:p>
      <w:pPr>
        <w:pStyle w:val="LO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-SEGRETERIA GENERALE;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-COMANDANTE DELLA POLIZIA MUNICIPALE;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-DIRIGENTE  DEL SETTORE AMBIENTE;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-DIRIGENTE  DEL SETTORE STRUTTURE COMUNALI;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-DIRIGENTE SETTORE MOBILITÀ URBANA, TRASPORTI E MANUTENZIONI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-ASSESSORE ALLA SICUREZZA;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-ASSESSORE ALL’AMBIENTE;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-Responsabile Protezione Civile;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-Responsabile dell’Ufficio Verde Pubblico;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-Responsabile del Cimitero;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-Responsabile degli Impianti Sportivi;</w:t>
      </w:r>
    </w:p>
    <w:p>
      <w:pPr>
        <w:pStyle w:val="LO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-Ufficio Stampa del Comune,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 a: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color w:val="052449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</w:rPr>
        <w:t xml:space="preserve">PREFETTURA DI SALERNO:  </w:t>
      </w:r>
      <w:hyperlink r:id="rId3">
        <w:r>
          <w:rPr>
            <w:rFonts w:eastAsia="Arial" w:cs="Arial" w:ascii="Arial" w:hAnsi="Arial"/>
            <w:color w:val="1155CC"/>
            <w:sz w:val="22"/>
            <w:szCs w:val="22"/>
            <w:highlight w:val="white"/>
            <w:u w:val="single"/>
          </w:rPr>
          <w:t>protocollo.prefsa@pec.interno.it</w:t>
        </w:r>
      </w:hyperlink>
      <w:r>
        <w:rPr>
          <w:rFonts w:eastAsia="Arial" w:cs="Arial" w:ascii="Arial" w:hAnsi="Arial"/>
          <w:color w:val="052449"/>
          <w:sz w:val="22"/>
          <w:szCs w:val="22"/>
          <w:highlight w:val="white"/>
        </w:rPr>
        <w:t xml:space="preserve"> ;</w:t>
      </w:r>
    </w:p>
    <w:p>
      <w:pPr>
        <w:pStyle w:val="LOnormal"/>
        <w:widowControl w:val="false"/>
        <w:jc w:val="both"/>
        <w:rPr>
          <w:rFonts w:ascii="Arial" w:hAnsi="Arial" w:eastAsia="Arial" w:cs="Arial"/>
          <w:color w:val="23527C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</w:rPr>
        <w:t xml:space="preserve">QUESTURA DI SALERNO: </w:t>
      </w:r>
      <w:hyperlink r:id="rId4">
        <w:r>
          <w:rPr>
            <w:rFonts w:eastAsia="Arial" w:cs="Arial" w:ascii="Arial" w:hAnsi="Arial"/>
            <w:color w:val="1155CC"/>
            <w:sz w:val="22"/>
            <w:szCs w:val="22"/>
            <w:highlight w:val="white"/>
            <w:u w:val="single"/>
          </w:rPr>
          <w:t>gab.quest.sa@pecps.poliziadistato.it</w:t>
        </w:r>
      </w:hyperlink>
      <w:r>
        <w:rPr>
          <w:rFonts w:eastAsia="Arial" w:cs="Arial" w:ascii="Arial" w:hAnsi="Arial"/>
          <w:color w:val="23527C"/>
          <w:sz w:val="22"/>
          <w:szCs w:val="22"/>
          <w:highlight w:val="white"/>
        </w:rPr>
        <w:t xml:space="preserve"> ;</w:t>
      </w:r>
    </w:p>
    <w:p>
      <w:pPr>
        <w:pStyle w:val="LOnormal"/>
        <w:widowControl w:val="false"/>
        <w:jc w:val="both"/>
        <w:rPr>
          <w:rFonts w:ascii="Arial" w:hAnsi="Arial" w:eastAsia="Arial" w:cs="Arial"/>
          <w:color w:val="111111"/>
          <w:sz w:val="22"/>
          <w:szCs w:val="22"/>
          <w:highlight w:val="white"/>
        </w:rPr>
      </w:pPr>
      <w:r>
        <w:rPr>
          <w:rFonts w:eastAsia="Arial" w:cs="Arial" w:ascii="Arial" w:hAnsi="Arial"/>
          <w:color w:val="111111"/>
          <w:sz w:val="22"/>
          <w:szCs w:val="22"/>
          <w:highlight w:val="white"/>
        </w:rPr>
        <w:t xml:space="preserve">COMANDO PROVINCIALE CARABINIERI: </w:t>
      </w:r>
      <w:hyperlink r:id="rId5">
        <w:r>
          <w:rPr>
            <w:rFonts w:eastAsia="Arial" w:cs="Arial" w:ascii="Arial" w:hAnsi="Arial"/>
            <w:color w:val="1155CC"/>
            <w:sz w:val="22"/>
            <w:szCs w:val="22"/>
            <w:highlight w:val="white"/>
            <w:u w:val="single"/>
          </w:rPr>
          <w:t>tsa27592@pec.carabinieri.it</w:t>
        </w:r>
      </w:hyperlink>
      <w:r>
        <w:rPr>
          <w:rFonts w:eastAsia="Arial" w:cs="Arial" w:ascii="Arial" w:hAnsi="Arial"/>
          <w:color w:val="111111"/>
          <w:sz w:val="22"/>
          <w:szCs w:val="22"/>
          <w:highlight w:val="white"/>
        </w:rPr>
        <w:t xml:space="preserve"> ; </w:t>
      </w:r>
    </w:p>
    <w:p>
      <w:pPr>
        <w:pStyle w:val="LOnormal"/>
        <w:widowControl w:val="false"/>
        <w:jc w:val="both"/>
        <w:rPr>
          <w:rFonts w:ascii="Arial" w:hAnsi="Arial" w:eastAsia="Arial" w:cs="Arial"/>
          <w:color w:val="111111"/>
          <w:sz w:val="22"/>
          <w:szCs w:val="22"/>
          <w:highlight w:val="white"/>
        </w:rPr>
      </w:pPr>
      <w:r>
        <w:rPr>
          <w:rFonts w:eastAsia="Arial" w:cs="Arial" w:ascii="Arial" w:hAnsi="Arial"/>
          <w:color w:val="111111"/>
          <w:sz w:val="22"/>
          <w:szCs w:val="22"/>
          <w:highlight w:val="white"/>
        </w:rPr>
        <w:t xml:space="preserve">COMANDO PROVINCIALE DEI VIGILI DEL FUOCO: </w:t>
      </w:r>
      <w:hyperlink r:id="rId6">
        <w:r>
          <w:rPr>
            <w:rFonts w:eastAsia="Arial" w:cs="Arial" w:ascii="Arial" w:hAnsi="Arial"/>
            <w:color w:val="1155CC"/>
            <w:sz w:val="22"/>
            <w:szCs w:val="22"/>
            <w:highlight w:val="white"/>
            <w:u w:val="single"/>
          </w:rPr>
          <w:t>com.salerno@cert.vigilfuoco.it</w:t>
        </w:r>
      </w:hyperlink>
      <w:r>
        <w:rPr>
          <w:rFonts w:eastAsia="Arial" w:cs="Arial" w:ascii="Arial" w:hAnsi="Arial"/>
          <w:color w:val="111111"/>
          <w:sz w:val="22"/>
          <w:szCs w:val="22"/>
          <w:highlight w:val="white"/>
        </w:rPr>
        <w:t xml:space="preserve"> .</w:t>
      </w:r>
    </w:p>
    <w:p>
      <w:pPr>
        <w:pStyle w:val="LOnormal"/>
        <w:widowControl w:val="false"/>
        <w:jc w:val="center"/>
        <w:rPr>
          <w:rFonts w:ascii="Arial" w:hAnsi="Arial" w:eastAsia="Arial" w:cs="Arial"/>
          <w:color w:val="111111"/>
          <w:sz w:val="22"/>
          <w:szCs w:val="22"/>
          <w:highlight w:val="white"/>
        </w:rPr>
      </w:pPr>
      <w:r>
        <w:rPr>
          <w:rFonts w:eastAsia="Arial" w:cs="Arial" w:ascii="Arial" w:hAnsi="Arial"/>
          <w:color w:val="111111"/>
          <w:sz w:val="22"/>
          <w:szCs w:val="22"/>
          <w:highlight w:val="white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INFORMA</w:t>
      </w:r>
    </w:p>
    <w:p>
      <w:pPr>
        <w:pStyle w:val="LOnormal"/>
        <w:widowControl w:val="false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Che avverso la presente Ordinanza è ammesso ricorso giurisdizionale innanzi al Tribunale Amministrativo Regionale nel termine di 60 giorni dalla pubblicazione ovvero ricorso straordinario al Capo dello Stato entro il termine di 120 giorni.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5760" w:right="0" w:firstLine="72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    </w:t>
      </w:r>
      <w:r>
        <w:rPr>
          <w:rFonts w:eastAsia="Arial" w:cs="Arial" w:ascii="Arial" w:hAnsi="Arial"/>
          <w:b/>
        </w:rPr>
        <w:t>Il Sindaco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6519"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Vincenzo Napoli</w:t>
      </w:r>
    </w:p>
    <w:sectPr>
      <w:footerReference w:type="default" r:id="rId7"/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u w:val="none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1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1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.prefsa@pec.interno.it" TargetMode="External"/><Relationship Id="rId4" Type="http://schemas.openxmlformats.org/officeDocument/2006/relationships/hyperlink" Target="mailto:gab.quest.sa@pecps.poliziadistato.it" TargetMode="External"/><Relationship Id="rId5" Type="http://schemas.openxmlformats.org/officeDocument/2006/relationships/hyperlink" Target="mailto:tsa27592@pec.carabinieri.it" TargetMode="External"/><Relationship Id="rId6" Type="http://schemas.openxmlformats.org/officeDocument/2006/relationships/hyperlink" Target="mailto:com.salerno@cert.vigilfuoco.it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GU0nAux6MKfsW5x83q1ohO7gPvA==">AMUW2mVRVhtwz+nbOtvK+KEBuCb7Olflk74VVqTYJSepr/Iifibw6wogojAsWU45imFEVGNBeItiXFn9nYZR5bzX9JXext8O6kKpj3rEmUfHAaXR14BTyzw=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4</Pages>
  <Words>773</Words>
  <Characters>4486</Characters>
  <CharactersWithSpaces>5213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